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601E" w14:textId="145B3FA7" w:rsidR="00DD3C15" w:rsidRDefault="005C6C5B" w:rsidP="007E3A91">
      <w:pPr>
        <w:spacing w:line="380" w:lineRule="exact"/>
        <w:rPr>
          <w:i/>
          <w:sz w:val="22"/>
          <w:szCs w:val="22"/>
        </w:rPr>
      </w:pPr>
      <w:proofErr w:type="spellStart"/>
      <w:r>
        <w:rPr>
          <w:i/>
          <w:sz w:val="22"/>
        </w:rPr>
        <w:t>CompAX</w:t>
      </w:r>
      <w:proofErr w:type="spellEnd"/>
      <w:r>
        <w:rPr>
          <w:i/>
          <w:sz w:val="22"/>
        </w:rPr>
        <w:t xml:space="preserve"> – les nouvelles pompes de recirculation à rotor noyé compactes de Biral</w:t>
      </w:r>
    </w:p>
    <w:p w14:paraId="1373473C" w14:textId="77777777" w:rsidR="00A41AC0" w:rsidRPr="0095705E" w:rsidRDefault="00A41AC0" w:rsidP="007E3A91">
      <w:pPr>
        <w:spacing w:line="380" w:lineRule="exact"/>
        <w:rPr>
          <w:i/>
          <w:sz w:val="22"/>
          <w:szCs w:val="22"/>
        </w:rPr>
      </w:pPr>
    </w:p>
    <w:p w14:paraId="0738B4AA" w14:textId="0BDEF077" w:rsidR="00DD33DA" w:rsidRPr="003930A6" w:rsidRDefault="005C6C5B" w:rsidP="007E3A91">
      <w:pPr>
        <w:spacing w:line="380" w:lineRule="exact"/>
        <w:rPr>
          <w:b/>
          <w:color w:val="262626" w:themeColor="text1" w:themeTint="D9"/>
          <w:sz w:val="40"/>
          <w:szCs w:val="40"/>
        </w:rPr>
      </w:pPr>
      <w:r>
        <w:rPr>
          <w:b/>
          <w:color w:val="262626" w:themeColor="text1" w:themeTint="D9"/>
          <w:sz w:val="40"/>
        </w:rPr>
        <w:t>Compacte, ergonomique et efficace – la nouvelle CompAX de Biral</w:t>
      </w:r>
    </w:p>
    <w:p w14:paraId="2A524267" w14:textId="77777777" w:rsidR="003930A6" w:rsidRDefault="003930A6" w:rsidP="00E102E1">
      <w:pPr>
        <w:spacing w:line="380" w:lineRule="exact"/>
        <w:ind w:right="-142"/>
        <w:rPr>
          <w:b/>
          <w:color w:val="262626" w:themeColor="text1" w:themeTint="D9"/>
        </w:rPr>
      </w:pPr>
    </w:p>
    <w:p w14:paraId="632B02BA" w14:textId="3758057E" w:rsidR="004F3826" w:rsidRDefault="00E1137F" w:rsidP="00E102E1">
      <w:pPr>
        <w:spacing w:line="380" w:lineRule="exact"/>
        <w:ind w:right="-142"/>
        <w:rPr>
          <w:b/>
          <w:color w:val="262626" w:themeColor="text1" w:themeTint="D9"/>
        </w:rPr>
      </w:pPr>
      <w:r>
        <w:rPr>
          <w:b/>
          <w:color w:val="262626" w:themeColor="text1" w:themeTint="D9"/>
        </w:rPr>
        <w:t>Avec la nouvelle CompAX, Biral lance sur le marché une pompe de recirculation à rotor noyé extrêmement compacte et efficace – intégralement développée par Biral depuis la conception au contrôle qualité, en passant par le montage.</w:t>
      </w:r>
    </w:p>
    <w:p w14:paraId="5722B9D5" w14:textId="6A4006A7" w:rsidR="005C6C5B" w:rsidRDefault="005C6C5B" w:rsidP="00E102E1">
      <w:pPr>
        <w:spacing w:line="380" w:lineRule="exact"/>
        <w:ind w:right="-142"/>
        <w:rPr>
          <w:b/>
          <w:color w:val="262626" w:themeColor="text1" w:themeTint="D9"/>
        </w:rPr>
      </w:pPr>
    </w:p>
    <w:p w14:paraId="76390301" w14:textId="6BD729E5" w:rsidR="0045485F" w:rsidRDefault="005C6C5B" w:rsidP="00013D32">
      <w:pPr>
        <w:spacing w:line="380" w:lineRule="exact"/>
        <w:ind w:right="-142"/>
        <w:rPr>
          <w:bCs/>
          <w:color w:val="262626" w:themeColor="text1" w:themeTint="D9"/>
        </w:rPr>
      </w:pPr>
      <w:r>
        <w:rPr>
          <w:color w:val="262626" w:themeColor="text1" w:themeTint="D9"/>
        </w:rPr>
        <w:t>Compacte, ergonomique et efficace : telle est la nouvelle CompAX de Biral. La nouvelle pompe de recirculation à rotor noyé est une conception propre au premier constructeur suisse de pompes, développée par des pros pour des pros. Les installateurs apprécient particulièrement l’extrême compacité de la nouvelle pompe de recirculation à rotor noyé. D’une profondeur de montage de 103,3 mm, la CompAX est nettement plus compacte que toute autre pompe. Elle convient idéalement pour une installation dans des espaces très limités. La nouvelle CompAX séduit par sa très grande efficacité. Elle atteint un indice d’efficacité énergétique (EEI) ≤ 0,18 et satisfait ainsi aux exigences d’efficacité européennes en vigueur. Comme toutes les nouvelles pompes Biral, la CompAX convainc par son application de la philosophie de service de Biral, simple et claire.</w:t>
      </w:r>
    </w:p>
    <w:p w14:paraId="6456E4AD" w14:textId="748FA194" w:rsidR="0045485F" w:rsidRDefault="0045485F" w:rsidP="0045485F">
      <w:pPr>
        <w:spacing w:line="380" w:lineRule="exact"/>
        <w:ind w:right="-142"/>
        <w:rPr>
          <w:bCs/>
          <w:color w:val="262626" w:themeColor="text1" w:themeTint="D9"/>
        </w:rPr>
      </w:pPr>
    </w:p>
    <w:p w14:paraId="01CBF882" w14:textId="3E97060E" w:rsidR="00D024A0" w:rsidRPr="00D024A0" w:rsidRDefault="00D024A0" w:rsidP="00E102E1">
      <w:pPr>
        <w:spacing w:line="380" w:lineRule="exact"/>
        <w:ind w:right="-142"/>
        <w:rPr>
          <w:b/>
          <w:color w:val="262626" w:themeColor="text1" w:themeTint="D9"/>
        </w:rPr>
      </w:pPr>
      <w:r>
        <w:rPr>
          <w:b/>
          <w:color w:val="262626" w:themeColor="text1" w:themeTint="D9"/>
        </w:rPr>
        <w:t>CompAX RED – la pompe de recirculation de chauffage</w:t>
      </w:r>
    </w:p>
    <w:p w14:paraId="42D01D68" w14:textId="0B2C8325" w:rsidR="00D024A0" w:rsidRDefault="00D024A0" w:rsidP="00E102E1">
      <w:pPr>
        <w:spacing w:line="380" w:lineRule="exact"/>
        <w:ind w:right="-142"/>
        <w:rPr>
          <w:bCs/>
          <w:color w:val="262626" w:themeColor="text1" w:themeTint="D9"/>
          <w:u w:val="single"/>
        </w:rPr>
      </w:pPr>
      <w:r>
        <w:rPr>
          <w:color w:val="262626" w:themeColor="text1" w:themeTint="D9"/>
        </w:rPr>
        <w:t>Trois niveaux de vitesse peuvent être réglés sur la CompAX RED, tout comme l’un des trois modes de régulation suivants peut être sélectionné : chauffage par radiateurs, chauffage au sol ou vitesse constante.</w:t>
      </w:r>
    </w:p>
    <w:p w14:paraId="682ABB4E" w14:textId="72865296" w:rsidR="00D024A0" w:rsidRDefault="00D024A0" w:rsidP="00E102E1">
      <w:pPr>
        <w:spacing w:line="380" w:lineRule="exact"/>
        <w:ind w:right="-142"/>
        <w:rPr>
          <w:bCs/>
          <w:color w:val="262626" w:themeColor="text1" w:themeTint="D9"/>
          <w:u w:val="single"/>
        </w:rPr>
      </w:pPr>
    </w:p>
    <w:p w14:paraId="261B4A51" w14:textId="77777777" w:rsidR="00FD3B63" w:rsidRDefault="00FD3B63" w:rsidP="00E102E1">
      <w:pPr>
        <w:spacing w:line="380" w:lineRule="exact"/>
        <w:ind w:right="-142"/>
        <w:rPr>
          <w:bCs/>
          <w:color w:val="262626" w:themeColor="text1" w:themeTint="D9"/>
          <w:u w:val="single"/>
        </w:rPr>
      </w:pPr>
    </w:p>
    <w:p w14:paraId="0958CA22" w14:textId="77777777" w:rsidR="00CF7AC5" w:rsidRDefault="00CF7AC5" w:rsidP="00E102E1">
      <w:pPr>
        <w:spacing w:line="380" w:lineRule="exact"/>
        <w:ind w:right="-142"/>
        <w:rPr>
          <w:b/>
          <w:color w:val="262626" w:themeColor="text1" w:themeTint="D9"/>
        </w:rPr>
      </w:pPr>
    </w:p>
    <w:p w14:paraId="2F83E558" w14:textId="77777777" w:rsidR="00CF7AC5" w:rsidRDefault="00CF7AC5" w:rsidP="00E102E1">
      <w:pPr>
        <w:spacing w:line="380" w:lineRule="exact"/>
        <w:ind w:right="-142"/>
        <w:rPr>
          <w:b/>
          <w:color w:val="262626" w:themeColor="text1" w:themeTint="D9"/>
        </w:rPr>
      </w:pPr>
    </w:p>
    <w:p w14:paraId="76B2EFDD" w14:textId="72022394" w:rsidR="00D024A0" w:rsidRDefault="00D024A0" w:rsidP="00E102E1">
      <w:pPr>
        <w:spacing w:line="380" w:lineRule="exact"/>
        <w:ind w:right="-142"/>
        <w:rPr>
          <w:b/>
          <w:color w:val="262626" w:themeColor="text1" w:themeTint="D9"/>
        </w:rPr>
      </w:pPr>
      <w:proofErr w:type="spellStart"/>
      <w:r>
        <w:rPr>
          <w:b/>
          <w:color w:val="262626" w:themeColor="text1" w:themeTint="D9"/>
        </w:rPr>
        <w:lastRenderedPageBreak/>
        <w:t>CompAX</w:t>
      </w:r>
      <w:proofErr w:type="spellEnd"/>
      <w:r>
        <w:rPr>
          <w:b/>
          <w:color w:val="262626" w:themeColor="text1" w:themeTint="D9"/>
        </w:rPr>
        <w:t xml:space="preserve"> BLUE – la pompe de recirculation pour eau sanitaire</w:t>
      </w:r>
    </w:p>
    <w:p w14:paraId="571BD0F6" w14:textId="77777777" w:rsidR="00CF7AC5" w:rsidRPr="00D024A0" w:rsidRDefault="00CF7AC5" w:rsidP="00E102E1">
      <w:pPr>
        <w:spacing w:line="380" w:lineRule="exact"/>
        <w:ind w:right="-142"/>
        <w:rPr>
          <w:b/>
          <w:color w:val="262626" w:themeColor="text1" w:themeTint="D9"/>
        </w:rPr>
      </w:pPr>
    </w:p>
    <w:p w14:paraId="0507B18C" w14:textId="7FFEC8C8" w:rsidR="00D024A0" w:rsidRDefault="00613864" w:rsidP="00E102E1">
      <w:pPr>
        <w:spacing w:line="380" w:lineRule="exact"/>
        <w:ind w:right="-142"/>
        <w:rPr>
          <w:bCs/>
          <w:color w:val="262626" w:themeColor="text1" w:themeTint="D9"/>
        </w:rPr>
      </w:pPr>
      <w:r>
        <w:rPr>
          <w:color w:val="262626" w:themeColor="text1" w:themeTint="D9"/>
        </w:rPr>
        <w:t xml:space="preserve">Quatre caractéristiques de réglage peuvent être configurées sur la CompAX BLUE. Également proposé avec un clapet antiretour intégré, le modèle d’une longueur </w:t>
      </w:r>
      <w:proofErr w:type="gramStart"/>
      <w:r>
        <w:rPr>
          <w:color w:val="262626" w:themeColor="text1" w:themeTint="D9"/>
        </w:rPr>
        <w:t>hors</w:t>
      </w:r>
      <w:proofErr w:type="gramEnd"/>
      <w:r>
        <w:rPr>
          <w:color w:val="262626" w:themeColor="text1" w:themeTint="D9"/>
        </w:rPr>
        <w:t xml:space="preserve"> tout de seulement 175 mm se distingue par son extrême compacité. </w:t>
      </w:r>
    </w:p>
    <w:p w14:paraId="2722D56E" w14:textId="77777777" w:rsidR="00D024A0" w:rsidRDefault="00D024A0" w:rsidP="00E102E1">
      <w:pPr>
        <w:spacing w:line="380" w:lineRule="exact"/>
        <w:ind w:right="-142"/>
        <w:rPr>
          <w:bCs/>
          <w:color w:val="262626" w:themeColor="text1" w:themeTint="D9"/>
        </w:rPr>
      </w:pPr>
    </w:p>
    <w:p w14:paraId="1FC9F57D" w14:textId="5C01DA1B" w:rsidR="0045485F" w:rsidRDefault="00613864" w:rsidP="00E102E1">
      <w:pPr>
        <w:spacing w:line="380" w:lineRule="exact"/>
        <w:ind w:right="-142"/>
        <w:rPr>
          <w:bCs/>
          <w:color w:val="262626" w:themeColor="text1" w:themeTint="D9"/>
        </w:rPr>
      </w:pPr>
      <w:r>
        <w:rPr>
          <w:color w:val="262626" w:themeColor="text1" w:themeTint="D9"/>
        </w:rPr>
        <w:t xml:space="preserve">Les deux modèles sont équipés d’un indicateur d’écoulement qui affiche le débit. En pratique, tout aussi utile, l’écran intégré renseigne sur la puissance absorbée actuelle en watt. </w:t>
      </w:r>
    </w:p>
    <w:p w14:paraId="61EC42EA" w14:textId="3FCFEFA3" w:rsidR="00013D32" w:rsidRDefault="00013D32" w:rsidP="00E102E1">
      <w:pPr>
        <w:spacing w:line="380" w:lineRule="exact"/>
        <w:ind w:right="-142"/>
        <w:rPr>
          <w:bCs/>
          <w:color w:val="262626" w:themeColor="text1" w:themeTint="D9"/>
        </w:rPr>
      </w:pPr>
    </w:p>
    <w:p w14:paraId="272917E2" w14:textId="6F2CDBB9" w:rsidR="00013D32" w:rsidRDefault="00013D32" w:rsidP="00E102E1">
      <w:pPr>
        <w:spacing w:line="380" w:lineRule="exact"/>
        <w:ind w:right="-142"/>
        <w:rPr>
          <w:bCs/>
          <w:color w:val="262626" w:themeColor="text1" w:themeTint="D9"/>
        </w:rPr>
      </w:pPr>
      <w:r>
        <w:rPr>
          <w:color w:val="262626" w:themeColor="text1" w:themeTint="D9"/>
        </w:rPr>
        <w:t>La mise en place d’une pompe de recirculation CompAX réduit considérablement la consommation d’électricité et améliore le comportement de régulation de l’installation. De plus, les bruits d’écoulement provenant des vannes thermostatiques ou autres accessoires de tuyauterie de régulation similaires sont efficacement réduits. Lorsqu’une pompe CompAX est mise en œuvre, une isolation thermique supplémentaire n’est pas nécessaire, car une coque d’isolation thermique est fournie en standard par Biral.</w:t>
      </w:r>
    </w:p>
    <w:p w14:paraId="7CAA8EC0" w14:textId="77777777" w:rsidR="0045485F" w:rsidRDefault="0045485F" w:rsidP="00E102E1">
      <w:pPr>
        <w:spacing w:line="380" w:lineRule="exact"/>
        <w:ind w:right="-142"/>
        <w:rPr>
          <w:bCs/>
          <w:color w:val="262626" w:themeColor="text1" w:themeTint="D9"/>
        </w:rPr>
      </w:pPr>
    </w:p>
    <w:p w14:paraId="55ECE84D" w14:textId="6F88A07B" w:rsidR="008E364A" w:rsidRDefault="00013D32" w:rsidP="00CF7AC5">
      <w:pPr>
        <w:spacing w:line="380" w:lineRule="exact"/>
        <w:ind w:right="-142"/>
        <w:rPr>
          <w:iCs/>
          <w:sz w:val="22"/>
          <w:szCs w:val="22"/>
        </w:rPr>
      </w:pPr>
      <w:r>
        <w:rPr>
          <w:color w:val="262626" w:themeColor="text1" w:themeTint="D9"/>
        </w:rPr>
        <w:t xml:space="preserve">Les pompes CompAX de Biral conviennent pour des installations avec débits de refoulement constants ou variables, dans lesquelles le point de fonctionnement doit être optimisé. La CompAX peut également être utile dans des installations existantes, quand la pression différentielle de la pompe est trop élevée lorsque les besoins en débit sont réduits, ou dans des nouvelles installations, dont la capacité de refoulement devrait être automatiquement adaptée selon les besoins en débit sans mise en œuvre de vannes régulatrices de débit ni d’autres composants onéreux. </w:t>
      </w:r>
      <w:r w:rsidR="00CF7AC5">
        <w:rPr>
          <w:color w:val="262626" w:themeColor="text1" w:themeTint="D9"/>
        </w:rPr>
        <w:br/>
      </w:r>
      <w:r w:rsidR="00CF7AC5">
        <w:rPr>
          <w:color w:val="262626" w:themeColor="text1" w:themeTint="D9"/>
        </w:rPr>
        <w:br/>
      </w:r>
      <w:r w:rsidR="00CF7AC5" w:rsidRPr="00CF7AC5">
        <w:rPr>
          <w:i/>
          <w:sz w:val="22"/>
          <w:szCs w:val="22"/>
        </w:rPr>
        <w:t xml:space="preserve">(2571 </w:t>
      </w:r>
      <w:proofErr w:type="spellStart"/>
      <w:r w:rsidR="00CF7AC5" w:rsidRPr="00CF7AC5">
        <w:rPr>
          <w:i/>
          <w:sz w:val="22"/>
          <w:szCs w:val="22"/>
        </w:rPr>
        <w:t>Zeichen</w:t>
      </w:r>
      <w:proofErr w:type="spellEnd"/>
      <w:r w:rsidR="00CF7AC5" w:rsidRPr="00CF7AC5">
        <w:rPr>
          <w:i/>
          <w:sz w:val="22"/>
          <w:szCs w:val="22"/>
        </w:rPr>
        <w:t>)</w:t>
      </w:r>
    </w:p>
    <w:sectPr w:rsidR="008E364A" w:rsidSect="00DD33DA">
      <w:pgSz w:w="11900" w:h="16840"/>
      <w:pgMar w:top="1417" w:right="3395" w:bottom="1134" w:left="19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0F2A"/>
    <w:multiLevelType w:val="hybridMultilevel"/>
    <w:tmpl w:val="9BC6A14A"/>
    <w:lvl w:ilvl="0" w:tplc="D40A041A">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F92932"/>
    <w:multiLevelType w:val="hybridMultilevel"/>
    <w:tmpl w:val="733E9C40"/>
    <w:lvl w:ilvl="0" w:tplc="737CC2D2">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E02477"/>
    <w:multiLevelType w:val="hybridMultilevel"/>
    <w:tmpl w:val="4D72924E"/>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3" w15:restartNumberingAfterBreak="0">
    <w:nsid w:val="1F6510AB"/>
    <w:multiLevelType w:val="hybridMultilevel"/>
    <w:tmpl w:val="5E78A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5ABB"/>
    <w:multiLevelType w:val="hybridMultilevel"/>
    <w:tmpl w:val="F63C113E"/>
    <w:lvl w:ilvl="0" w:tplc="BD2832EE">
      <w:start w:val="1"/>
      <w:numFmt w:val="bullet"/>
      <w:pStyle w:val="pli"/>
      <w:lvlText w:val=""/>
      <w:lvlJc w:val="left"/>
      <w:pPr>
        <w:tabs>
          <w:tab w:val="num" w:pos="170"/>
        </w:tabs>
        <w:ind w:left="170" w:hanging="17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2D7B4A"/>
    <w:multiLevelType w:val="hybridMultilevel"/>
    <w:tmpl w:val="48B46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AF1A2F"/>
    <w:multiLevelType w:val="hybridMultilevel"/>
    <w:tmpl w:val="819A6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913AE5"/>
    <w:multiLevelType w:val="multilevel"/>
    <w:tmpl w:val="095A36CA"/>
    <w:lvl w:ilvl="0">
      <w:start w:val="2"/>
      <w:numFmt w:val="decimal"/>
      <w:pStyle w:val="h1"/>
      <w:lvlText w:val="%1"/>
      <w:lvlJc w:val="left"/>
      <w:pPr>
        <w:ind w:left="432" w:hanging="432"/>
      </w:pPr>
      <w:rPr>
        <w:rFonts w:hint="default"/>
      </w:rPr>
    </w:lvl>
    <w:lvl w:ilvl="1">
      <w:start w:val="3"/>
      <w:numFmt w:val="decimal"/>
      <w:pStyle w:val="h2"/>
      <w:lvlText w:val="%1.%2"/>
      <w:lvlJc w:val="left"/>
      <w:pPr>
        <w:ind w:left="576" w:hanging="576"/>
      </w:pPr>
      <w:rPr>
        <w:rFonts w:hint="default"/>
      </w:rPr>
    </w:lvl>
    <w:lvl w:ilvl="2">
      <w:start w:val="1"/>
      <w:numFmt w:val="decimal"/>
      <w:pStyle w:val="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7"/>
  </w:num>
  <w:num w:numId="3">
    <w:abstractNumId w:val="7"/>
  </w:num>
  <w:num w:numId="4">
    <w:abstractNumId w:val="4"/>
  </w:num>
  <w:num w:numId="5">
    <w:abstractNumId w:val="6"/>
  </w:num>
  <w:num w:numId="6">
    <w:abstractNumId w:val="5"/>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E8C"/>
    <w:rsid w:val="00013D32"/>
    <w:rsid w:val="000348C2"/>
    <w:rsid w:val="0004273D"/>
    <w:rsid w:val="000630BA"/>
    <w:rsid w:val="00065D5E"/>
    <w:rsid w:val="0008517D"/>
    <w:rsid w:val="000871B7"/>
    <w:rsid w:val="000963A0"/>
    <w:rsid w:val="000D7052"/>
    <w:rsid w:val="000F5AE2"/>
    <w:rsid w:val="000F66F9"/>
    <w:rsid w:val="00113CF1"/>
    <w:rsid w:val="0011484E"/>
    <w:rsid w:val="00115D8D"/>
    <w:rsid w:val="00134939"/>
    <w:rsid w:val="001407B3"/>
    <w:rsid w:val="001A2E4A"/>
    <w:rsid w:val="001C6BE6"/>
    <w:rsid w:val="001E5564"/>
    <w:rsid w:val="002410E9"/>
    <w:rsid w:val="00245A99"/>
    <w:rsid w:val="00270DC7"/>
    <w:rsid w:val="00276EB8"/>
    <w:rsid w:val="00285883"/>
    <w:rsid w:val="00297892"/>
    <w:rsid w:val="00314BBB"/>
    <w:rsid w:val="003255B1"/>
    <w:rsid w:val="00334695"/>
    <w:rsid w:val="00360C47"/>
    <w:rsid w:val="003618D7"/>
    <w:rsid w:val="0038074F"/>
    <w:rsid w:val="003930A6"/>
    <w:rsid w:val="003B5D01"/>
    <w:rsid w:val="003B697A"/>
    <w:rsid w:val="003D253B"/>
    <w:rsid w:val="00403DBD"/>
    <w:rsid w:val="00412D1B"/>
    <w:rsid w:val="00422EB8"/>
    <w:rsid w:val="00430AEA"/>
    <w:rsid w:val="00433560"/>
    <w:rsid w:val="004338F6"/>
    <w:rsid w:val="0044511C"/>
    <w:rsid w:val="00447859"/>
    <w:rsid w:val="0045485F"/>
    <w:rsid w:val="004745B2"/>
    <w:rsid w:val="00482871"/>
    <w:rsid w:val="00485E8C"/>
    <w:rsid w:val="004C40D7"/>
    <w:rsid w:val="004C795D"/>
    <w:rsid w:val="004D3BBE"/>
    <w:rsid w:val="004D3FB9"/>
    <w:rsid w:val="004D3FBF"/>
    <w:rsid w:val="004F09BD"/>
    <w:rsid w:val="004F3826"/>
    <w:rsid w:val="004F58DC"/>
    <w:rsid w:val="005302C2"/>
    <w:rsid w:val="00542739"/>
    <w:rsid w:val="00553268"/>
    <w:rsid w:val="00566F8B"/>
    <w:rsid w:val="00571BC5"/>
    <w:rsid w:val="00575BA9"/>
    <w:rsid w:val="005A3655"/>
    <w:rsid w:val="005A4105"/>
    <w:rsid w:val="005C59EF"/>
    <w:rsid w:val="005C6C5B"/>
    <w:rsid w:val="005D2DB2"/>
    <w:rsid w:val="005D5FB7"/>
    <w:rsid w:val="005E52DE"/>
    <w:rsid w:val="005E5412"/>
    <w:rsid w:val="005F3559"/>
    <w:rsid w:val="00600AB2"/>
    <w:rsid w:val="006020DD"/>
    <w:rsid w:val="00613864"/>
    <w:rsid w:val="00654FDD"/>
    <w:rsid w:val="006773E4"/>
    <w:rsid w:val="006A7027"/>
    <w:rsid w:val="006B17B1"/>
    <w:rsid w:val="006E5807"/>
    <w:rsid w:val="006F3B48"/>
    <w:rsid w:val="00705289"/>
    <w:rsid w:val="00733F66"/>
    <w:rsid w:val="00761530"/>
    <w:rsid w:val="00762A5C"/>
    <w:rsid w:val="007E2021"/>
    <w:rsid w:val="007E3A91"/>
    <w:rsid w:val="00810E8E"/>
    <w:rsid w:val="008217E3"/>
    <w:rsid w:val="00831CCB"/>
    <w:rsid w:val="008440FD"/>
    <w:rsid w:val="008518BC"/>
    <w:rsid w:val="00864773"/>
    <w:rsid w:val="008739C5"/>
    <w:rsid w:val="00892117"/>
    <w:rsid w:val="00896BA1"/>
    <w:rsid w:val="008A3AC4"/>
    <w:rsid w:val="008A6AA8"/>
    <w:rsid w:val="008B05B9"/>
    <w:rsid w:val="008B3027"/>
    <w:rsid w:val="008E364A"/>
    <w:rsid w:val="008E3B08"/>
    <w:rsid w:val="008F0C28"/>
    <w:rsid w:val="00905A51"/>
    <w:rsid w:val="0090672E"/>
    <w:rsid w:val="00907028"/>
    <w:rsid w:val="0092100C"/>
    <w:rsid w:val="0095705E"/>
    <w:rsid w:val="00982B95"/>
    <w:rsid w:val="00987CC7"/>
    <w:rsid w:val="00994A41"/>
    <w:rsid w:val="009A3AC6"/>
    <w:rsid w:val="009D152D"/>
    <w:rsid w:val="00A01116"/>
    <w:rsid w:val="00A1404F"/>
    <w:rsid w:val="00A17EB1"/>
    <w:rsid w:val="00A36DA2"/>
    <w:rsid w:val="00A41AC0"/>
    <w:rsid w:val="00A563C0"/>
    <w:rsid w:val="00A6091E"/>
    <w:rsid w:val="00A86056"/>
    <w:rsid w:val="00A90E96"/>
    <w:rsid w:val="00AC74AF"/>
    <w:rsid w:val="00AF4B58"/>
    <w:rsid w:val="00B10317"/>
    <w:rsid w:val="00B13762"/>
    <w:rsid w:val="00B7099B"/>
    <w:rsid w:val="00B75BE7"/>
    <w:rsid w:val="00BA023F"/>
    <w:rsid w:val="00BA0C64"/>
    <w:rsid w:val="00BC3F94"/>
    <w:rsid w:val="00BC5CBC"/>
    <w:rsid w:val="00C270C5"/>
    <w:rsid w:val="00C427A0"/>
    <w:rsid w:val="00C42C0D"/>
    <w:rsid w:val="00C437D2"/>
    <w:rsid w:val="00C47FE8"/>
    <w:rsid w:val="00C62986"/>
    <w:rsid w:val="00CA1FEF"/>
    <w:rsid w:val="00CA35B2"/>
    <w:rsid w:val="00CB3CE3"/>
    <w:rsid w:val="00CB6EF0"/>
    <w:rsid w:val="00CC0F8B"/>
    <w:rsid w:val="00CD4617"/>
    <w:rsid w:val="00CD64A2"/>
    <w:rsid w:val="00CE2F6C"/>
    <w:rsid w:val="00CF7AC5"/>
    <w:rsid w:val="00D024A0"/>
    <w:rsid w:val="00D16502"/>
    <w:rsid w:val="00D179F6"/>
    <w:rsid w:val="00D35BEA"/>
    <w:rsid w:val="00D56665"/>
    <w:rsid w:val="00DD33DA"/>
    <w:rsid w:val="00DD3C15"/>
    <w:rsid w:val="00DF0CFB"/>
    <w:rsid w:val="00E102E1"/>
    <w:rsid w:val="00E1137F"/>
    <w:rsid w:val="00E20CD4"/>
    <w:rsid w:val="00E2484E"/>
    <w:rsid w:val="00E2739E"/>
    <w:rsid w:val="00E64CDD"/>
    <w:rsid w:val="00EA2B11"/>
    <w:rsid w:val="00EC1E8F"/>
    <w:rsid w:val="00F0207A"/>
    <w:rsid w:val="00F0479D"/>
    <w:rsid w:val="00F057D7"/>
    <w:rsid w:val="00F07203"/>
    <w:rsid w:val="00F40F53"/>
    <w:rsid w:val="00F42E00"/>
    <w:rsid w:val="00F45DB8"/>
    <w:rsid w:val="00F71F7C"/>
    <w:rsid w:val="00FB0570"/>
    <w:rsid w:val="00FD3B63"/>
    <w:rsid w:val="00FE6F08"/>
    <w:rsid w:val="00FF0F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983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
    <w:name w:val="__p"/>
    <w:autoRedefine/>
    <w:uiPriority w:val="99"/>
    <w:qFormat/>
    <w:rsid w:val="00A6091E"/>
    <w:pPr>
      <w:tabs>
        <w:tab w:val="left" w:pos="1134"/>
      </w:tabs>
      <w:autoSpaceDE w:val="0"/>
      <w:autoSpaceDN w:val="0"/>
      <w:adjustRightInd w:val="0"/>
      <w:spacing w:after="260" w:line="260" w:lineRule="atLeast"/>
      <w:jc w:val="both"/>
      <w:textAlignment w:val="center"/>
    </w:pPr>
    <w:rPr>
      <w:rFonts w:ascii="Arial" w:eastAsia="Calibri" w:hAnsi="Arial" w:cs="FrutigerLTStd-Light"/>
      <w:color w:val="000000"/>
      <w:sz w:val="18"/>
      <w:szCs w:val="18"/>
      <w:lang w:eastAsia="de-CH"/>
    </w:rPr>
  </w:style>
  <w:style w:type="paragraph" w:customStyle="1" w:styleId="h1">
    <w:name w:val="_h1"/>
    <w:next w:val="Standard"/>
    <w:autoRedefine/>
    <w:uiPriority w:val="99"/>
    <w:qFormat/>
    <w:rsid w:val="00A6091E"/>
    <w:pPr>
      <w:pageBreakBefore/>
      <w:widowControl w:val="0"/>
      <w:numPr>
        <w:numId w:val="3"/>
      </w:numPr>
      <w:autoSpaceDE w:val="0"/>
      <w:autoSpaceDN w:val="0"/>
      <w:adjustRightInd w:val="0"/>
      <w:spacing w:after="780" w:line="520" w:lineRule="atLeast"/>
      <w:textAlignment w:val="center"/>
    </w:pPr>
    <w:rPr>
      <w:rFonts w:ascii="Arial" w:eastAsia="Calibri" w:hAnsi="Arial" w:cs="FrutigerLTStd-Bold"/>
      <w:b/>
      <w:bCs/>
      <w:color w:val="000000"/>
      <w:sz w:val="52"/>
      <w:szCs w:val="52"/>
      <w:lang w:eastAsia="de-CH"/>
    </w:rPr>
  </w:style>
  <w:style w:type="paragraph" w:customStyle="1" w:styleId="h1ohne">
    <w:name w:val="_h1_ohne"/>
    <w:autoRedefine/>
    <w:qFormat/>
    <w:rsid w:val="00A6091E"/>
    <w:pPr>
      <w:spacing w:after="780"/>
    </w:pPr>
    <w:rPr>
      <w:rFonts w:ascii="Arial" w:eastAsia="Calibri" w:hAnsi="Arial" w:cs="FrutigerLTStd-Bold"/>
      <w:b/>
      <w:bCs/>
      <w:color w:val="000000"/>
      <w:sz w:val="52"/>
      <w:szCs w:val="52"/>
      <w:lang w:eastAsia="de-CH"/>
    </w:rPr>
  </w:style>
  <w:style w:type="paragraph" w:customStyle="1" w:styleId="h2">
    <w:name w:val="_h2"/>
    <w:next w:val="Standard"/>
    <w:autoRedefine/>
    <w:uiPriority w:val="99"/>
    <w:qFormat/>
    <w:rsid w:val="00A6091E"/>
    <w:pPr>
      <w:numPr>
        <w:ilvl w:val="1"/>
        <w:numId w:val="3"/>
      </w:numPr>
      <w:spacing w:after="260" w:line="260" w:lineRule="atLeast"/>
    </w:pPr>
    <w:rPr>
      <w:rFonts w:ascii="Arial" w:eastAsia="Calibri" w:hAnsi="Arial" w:cs="FrutigerLTStd-Light"/>
      <w:b/>
      <w:bCs/>
      <w:color w:val="000000"/>
      <w:sz w:val="32"/>
      <w:szCs w:val="30"/>
      <w:lang w:eastAsia="de-CH"/>
    </w:rPr>
  </w:style>
  <w:style w:type="paragraph" w:customStyle="1" w:styleId="h3">
    <w:name w:val="_h3"/>
    <w:next w:val="p"/>
    <w:autoRedefine/>
    <w:uiPriority w:val="99"/>
    <w:qFormat/>
    <w:rsid w:val="00A6091E"/>
    <w:pPr>
      <w:keepNext/>
      <w:numPr>
        <w:ilvl w:val="2"/>
        <w:numId w:val="3"/>
      </w:numPr>
      <w:tabs>
        <w:tab w:val="left" w:pos="709"/>
      </w:tabs>
      <w:spacing w:after="260" w:line="260" w:lineRule="atLeast"/>
    </w:pPr>
    <w:rPr>
      <w:rFonts w:ascii="Arial" w:eastAsia="Calibri" w:hAnsi="Arial" w:cs="FrutigerLTStd-Light"/>
      <w:b/>
      <w:bCs/>
      <w:color w:val="000000"/>
      <w:sz w:val="26"/>
      <w:szCs w:val="26"/>
      <w:lang w:eastAsia="de-CH"/>
    </w:rPr>
  </w:style>
  <w:style w:type="paragraph" w:customStyle="1" w:styleId="h4">
    <w:name w:val="_h4"/>
    <w:next w:val="p"/>
    <w:autoRedefine/>
    <w:uiPriority w:val="99"/>
    <w:qFormat/>
    <w:rsid w:val="00A6091E"/>
    <w:pPr>
      <w:keepNext/>
      <w:widowControl w:val="0"/>
      <w:spacing w:line="260" w:lineRule="atLeast"/>
    </w:pPr>
    <w:rPr>
      <w:rFonts w:ascii="Arial" w:eastAsia="Calibri" w:hAnsi="Arial" w:cs="FrutigerLTStd-Light"/>
      <w:b/>
      <w:bCs/>
      <w:color w:val="007FB2"/>
      <w:sz w:val="20"/>
      <w:szCs w:val="20"/>
      <w:lang w:eastAsia="de-CH"/>
    </w:rPr>
  </w:style>
  <w:style w:type="paragraph" w:customStyle="1" w:styleId="h5">
    <w:name w:val="_h5"/>
    <w:basedOn w:val="p"/>
    <w:next w:val="p"/>
    <w:qFormat/>
    <w:rsid w:val="00A6091E"/>
    <w:pPr>
      <w:spacing w:after="0"/>
    </w:pPr>
    <w:rPr>
      <w:b/>
    </w:rPr>
  </w:style>
  <w:style w:type="paragraph" w:customStyle="1" w:styleId="pli">
    <w:name w:val="_p_li"/>
    <w:basedOn w:val="p"/>
    <w:autoRedefine/>
    <w:qFormat/>
    <w:rsid w:val="00A6091E"/>
    <w:pPr>
      <w:numPr>
        <w:numId w:val="4"/>
      </w:numPr>
    </w:pPr>
  </w:style>
  <w:style w:type="paragraph" w:customStyle="1" w:styleId="plinks">
    <w:name w:val="_p.links"/>
    <w:autoRedefine/>
    <w:uiPriority w:val="99"/>
    <w:qFormat/>
    <w:rsid w:val="00A6091E"/>
    <w:pPr>
      <w:widowControl w:val="0"/>
      <w:autoSpaceDE w:val="0"/>
      <w:autoSpaceDN w:val="0"/>
      <w:adjustRightInd w:val="0"/>
      <w:spacing w:line="260" w:lineRule="atLeast"/>
      <w:textAlignment w:val="center"/>
    </w:pPr>
    <w:rPr>
      <w:rFonts w:ascii="Arial" w:eastAsia="Calibri" w:hAnsi="Arial" w:cs="FrutigerLTStd-Light"/>
      <w:color w:val="000000"/>
      <w:sz w:val="18"/>
      <w:szCs w:val="18"/>
      <w:lang w:eastAsia="de-CH"/>
    </w:rPr>
  </w:style>
  <w:style w:type="paragraph" w:customStyle="1" w:styleId="ptab">
    <w:name w:val="_p.tab"/>
    <w:basedOn w:val="p"/>
    <w:autoRedefine/>
    <w:qFormat/>
    <w:rsid w:val="00A6091E"/>
    <w:pPr>
      <w:tabs>
        <w:tab w:val="left" w:pos="709"/>
      </w:tabs>
      <w:ind w:left="113"/>
    </w:pPr>
    <w:rPr>
      <w:bCs/>
    </w:rPr>
  </w:style>
  <w:style w:type="paragraph" w:customStyle="1" w:styleId="ptabtitel">
    <w:name w:val="_p.tab_titel"/>
    <w:basedOn w:val="Standard"/>
    <w:autoRedefine/>
    <w:qFormat/>
    <w:rsid w:val="00A6091E"/>
    <w:pPr>
      <w:tabs>
        <w:tab w:val="left" w:pos="709"/>
      </w:tabs>
      <w:spacing w:before="120" w:line="269" w:lineRule="auto"/>
      <w:ind w:left="142" w:hanging="29"/>
    </w:pPr>
    <w:rPr>
      <w:rFonts w:ascii="Arial" w:eastAsia="Calibri" w:hAnsi="Arial" w:cs="Times New Roman"/>
      <w:bCs/>
      <w:color w:val="000000" w:themeColor="text1"/>
      <w:sz w:val="22"/>
      <w:szCs w:val="22"/>
      <w:lang w:eastAsia="en-US"/>
    </w:rPr>
  </w:style>
  <w:style w:type="paragraph" w:customStyle="1" w:styleId="titelseitehaupttitel">
    <w:name w:val="_titelseite haupttitel"/>
    <w:basedOn w:val="Standard"/>
    <w:autoRedefine/>
    <w:qFormat/>
    <w:rsid w:val="00A6091E"/>
    <w:pPr>
      <w:spacing w:before="120"/>
    </w:pPr>
    <w:rPr>
      <w:rFonts w:ascii="Arial" w:eastAsia="Calibri" w:hAnsi="Arial" w:cs="Arial"/>
      <w:b/>
      <w:sz w:val="80"/>
      <w:szCs w:val="80"/>
      <w:lang w:eastAsia="en-US"/>
    </w:rPr>
  </w:style>
  <w:style w:type="paragraph" w:customStyle="1" w:styleId="titelseitehaupttitelklein">
    <w:name w:val="_titelseite haupttitel klein"/>
    <w:basedOn w:val="titelseitehaupttitel"/>
    <w:next w:val="p"/>
    <w:autoRedefine/>
    <w:qFormat/>
    <w:rsid w:val="00A6091E"/>
    <w:rPr>
      <w:sz w:val="30"/>
    </w:rPr>
  </w:style>
  <w:style w:type="paragraph" w:styleId="Listenabsatz">
    <w:name w:val="List Paragraph"/>
    <w:basedOn w:val="Standard"/>
    <w:uiPriority w:val="34"/>
    <w:qFormat/>
    <w:rsid w:val="00AC74AF"/>
    <w:pPr>
      <w:ind w:left="720"/>
      <w:contextualSpacing/>
    </w:pPr>
  </w:style>
  <w:style w:type="paragraph" w:styleId="berarbeitung">
    <w:name w:val="Revision"/>
    <w:hidden/>
    <w:uiPriority w:val="99"/>
    <w:semiHidden/>
    <w:rsid w:val="00433560"/>
  </w:style>
  <w:style w:type="paragraph" w:styleId="Sprechblasentext">
    <w:name w:val="Balloon Text"/>
    <w:basedOn w:val="Standard"/>
    <w:link w:val="SprechblasentextZchn"/>
    <w:uiPriority w:val="99"/>
    <w:semiHidden/>
    <w:unhideWhenUsed/>
    <w:rsid w:val="004335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60"/>
    <w:rPr>
      <w:rFonts w:ascii="Segoe UI" w:hAnsi="Segoe UI" w:cs="Segoe UI"/>
      <w:sz w:val="18"/>
      <w:szCs w:val="18"/>
    </w:rPr>
  </w:style>
  <w:style w:type="paragraph" w:styleId="KeinLeerraum">
    <w:name w:val="No Spacing"/>
    <w:uiPriority w:val="1"/>
    <w:qFormat/>
    <w:rsid w:val="006E5807"/>
    <w:rPr>
      <w:rFonts w:eastAsiaTheme="minorHAnsi"/>
      <w:sz w:val="22"/>
      <w:szCs w:val="22"/>
      <w:lang w:eastAsia="en-US"/>
    </w:rPr>
  </w:style>
  <w:style w:type="character" w:styleId="Kommentarzeichen">
    <w:name w:val="annotation reference"/>
    <w:basedOn w:val="Absatz-Standardschriftart"/>
    <w:uiPriority w:val="99"/>
    <w:semiHidden/>
    <w:unhideWhenUsed/>
    <w:rsid w:val="009D152D"/>
    <w:rPr>
      <w:sz w:val="16"/>
      <w:szCs w:val="16"/>
    </w:rPr>
  </w:style>
  <w:style w:type="paragraph" w:styleId="Kommentartext">
    <w:name w:val="annotation text"/>
    <w:basedOn w:val="Standard"/>
    <w:link w:val="KommentartextZchn"/>
    <w:uiPriority w:val="99"/>
    <w:semiHidden/>
    <w:unhideWhenUsed/>
    <w:rsid w:val="009D152D"/>
    <w:rPr>
      <w:sz w:val="20"/>
      <w:szCs w:val="20"/>
    </w:rPr>
  </w:style>
  <w:style w:type="character" w:customStyle="1" w:styleId="KommentartextZchn">
    <w:name w:val="Kommentartext Zchn"/>
    <w:basedOn w:val="Absatz-Standardschriftart"/>
    <w:link w:val="Kommentartext"/>
    <w:uiPriority w:val="99"/>
    <w:semiHidden/>
    <w:rsid w:val="009D152D"/>
    <w:rPr>
      <w:sz w:val="20"/>
      <w:szCs w:val="20"/>
    </w:rPr>
  </w:style>
  <w:style w:type="paragraph" w:styleId="Kommentarthema">
    <w:name w:val="annotation subject"/>
    <w:basedOn w:val="Kommentartext"/>
    <w:next w:val="Kommentartext"/>
    <w:link w:val="KommentarthemaZchn"/>
    <w:uiPriority w:val="99"/>
    <w:semiHidden/>
    <w:unhideWhenUsed/>
    <w:rsid w:val="009D152D"/>
    <w:rPr>
      <w:b/>
      <w:bCs/>
    </w:rPr>
  </w:style>
  <w:style w:type="character" w:customStyle="1" w:styleId="KommentarthemaZchn">
    <w:name w:val="Kommentarthema Zchn"/>
    <w:basedOn w:val="KommentartextZchn"/>
    <w:link w:val="Kommentarthema"/>
    <w:uiPriority w:val="99"/>
    <w:semiHidden/>
    <w:rsid w:val="009D15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465046">
      <w:bodyDiv w:val="1"/>
      <w:marLeft w:val="0"/>
      <w:marRight w:val="0"/>
      <w:marTop w:val="0"/>
      <w:marBottom w:val="0"/>
      <w:divBdr>
        <w:top w:val="none" w:sz="0" w:space="0" w:color="auto"/>
        <w:left w:val="none" w:sz="0" w:space="0" w:color="auto"/>
        <w:bottom w:val="none" w:sz="0" w:space="0" w:color="auto"/>
        <w:right w:val="none" w:sz="0" w:space="0" w:color="auto"/>
      </w:divBdr>
      <w:divsChild>
        <w:div w:id="1741370122">
          <w:marLeft w:val="0"/>
          <w:marRight w:val="0"/>
          <w:marTop w:val="0"/>
          <w:marBottom w:val="0"/>
          <w:divBdr>
            <w:top w:val="none" w:sz="0" w:space="0" w:color="auto"/>
            <w:left w:val="none" w:sz="0" w:space="0" w:color="auto"/>
            <w:bottom w:val="none" w:sz="0" w:space="0" w:color="auto"/>
            <w:right w:val="none" w:sz="0" w:space="0" w:color="auto"/>
          </w:divBdr>
          <w:divsChild>
            <w:div w:id="1704668763">
              <w:marLeft w:val="0"/>
              <w:marRight w:val="0"/>
              <w:marTop w:val="0"/>
              <w:marBottom w:val="0"/>
              <w:divBdr>
                <w:top w:val="none" w:sz="0" w:space="0" w:color="auto"/>
                <w:left w:val="none" w:sz="0" w:space="0" w:color="auto"/>
                <w:bottom w:val="none" w:sz="0" w:space="0" w:color="auto"/>
                <w:right w:val="none" w:sz="0" w:space="0" w:color="auto"/>
              </w:divBdr>
              <w:divsChild>
                <w:div w:id="796488805">
                  <w:marLeft w:val="0"/>
                  <w:marRight w:val="0"/>
                  <w:marTop w:val="0"/>
                  <w:marBottom w:val="0"/>
                  <w:divBdr>
                    <w:top w:val="none" w:sz="0" w:space="0" w:color="auto"/>
                    <w:left w:val="none" w:sz="0" w:space="0" w:color="auto"/>
                    <w:bottom w:val="none" w:sz="0" w:space="0" w:color="auto"/>
                    <w:right w:val="none" w:sz="0" w:space="0" w:color="auto"/>
                  </w:divBdr>
                  <w:divsChild>
                    <w:div w:id="15353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0639">
      <w:bodyDiv w:val="1"/>
      <w:marLeft w:val="0"/>
      <w:marRight w:val="0"/>
      <w:marTop w:val="0"/>
      <w:marBottom w:val="0"/>
      <w:divBdr>
        <w:top w:val="none" w:sz="0" w:space="0" w:color="auto"/>
        <w:left w:val="none" w:sz="0" w:space="0" w:color="auto"/>
        <w:bottom w:val="none" w:sz="0" w:space="0" w:color="auto"/>
        <w:right w:val="none" w:sz="0" w:space="0" w:color="auto"/>
      </w:divBdr>
      <w:divsChild>
        <w:div w:id="2108890333">
          <w:marLeft w:val="0"/>
          <w:marRight w:val="0"/>
          <w:marTop w:val="0"/>
          <w:marBottom w:val="0"/>
          <w:divBdr>
            <w:top w:val="none" w:sz="0" w:space="0" w:color="auto"/>
            <w:left w:val="none" w:sz="0" w:space="0" w:color="auto"/>
            <w:bottom w:val="none" w:sz="0" w:space="0" w:color="auto"/>
            <w:right w:val="none" w:sz="0" w:space="0" w:color="auto"/>
          </w:divBdr>
          <w:divsChild>
            <w:div w:id="1783261488">
              <w:marLeft w:val="0"/>
              <w:marRight w:val="0"/>
              <w:marTop w:val="0"/>
              <w:marBottom w:val="0"/>
              <w:divBdr>
                <w:top w:val="none" w:sz="0" w:space="0" w:color="auto"/>
                <w:left w:val="none" w:sz="0" w:space="0" w:color="auto"/>
                <w:bottom w:val="none" w:sz="0" w:space="0" w:color="auto"/>
                <w:right w:val="none" w:sz="0" w:space="0" w:color="auto"/>
              </w:divBdr>
              <w:divsChild>
                <w:div w:id="838157326">
                  <w:marLeft w:val="0"/>
                  <w:marRight w:val="0"/>
                  <w:marTop w:val="0"/>
                  <w:marBottom w:val="0"/>
                  <w:divBdr>
                    <w:top w:val="none" w:sz="0" w:space="0" w:color="auto"/>
                    <w:left w:val="none" w:sz="0" w:space="0" w:color="auto"/>
                    <w:bottom w:val="none" w:sz="0" w:space="0" w:color="auto"/>
                    <w:right w:val="none" w:sz="0" w:space="0" w:color="auto"/>
                  </w:divBdr>
                  <w:divsChild>
                    <w:div w:id="15017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0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raschle &amp; kranz | Atelier für Kommunikation GmbH</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raschle</dc:creator>
  <cp:keywords/>
  <dc:description/>
  <cp:lastModifiedBy>Danz Rosmarie</cp:lastModifiedBy>
  <cp:revision>2</cp:revision>
  <cp:lastPrinted>2016-02-28T16:47:00Z</cp:lastPrinted>
  <dcterms:created xsi:type="dcterms:W3CDTF">2022-01-13T10:10:00Z</dcterms:created>
  <dcterms:modified xsi:type="dcterms:W3CDTF">2022-01-13T10:10:00Z</dcterms:modified>
</cp:coreProperties>
</file>