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5601E" w14:textId="145B3FA7" w:rsidR="00DD3C15" w:rsidRDefault="005C6C5B" w:rsidP="007E3A91">
      <w:pPr>
        <w:spacing w:line="380" w:lineRule="exact"/>
        <w:rPr>
          <w:i/>
          <w:sz w:val="22"/>
          <w:szCs w:val="22"/>
        </w:rPr>
      </w:pPr>
      <w:proofErr w:type="spellStart"/>
      <w:r>
        <w:rPr>
          <w:i/>
          <w:sz w:val="22"/>
        </w:rPr>
        <w:t>CompAX</w:t>
      </w:r>
      <w:proofErr w:type="spellEnd"/>
      <w:r>
        <w:rPr>
          <w:i/>
          <w:sz w:val="22"/>
        </w:rPr>
        <w:t xml:space="preserve"> – le nuove pompe di circolazione compatte a rotore bagnato Biral</w:t>
      </w:r>
    </w:p>
    <w:p w14:paraId="1373473C" w14:textId="77777777" w:rsidR="00A41AC0" w:rsidRPr="0095705E" w:rsidRDefault="00A41AC0" w:rsidP="007E3A91">
      <w:pPr>
        <w:spacing w:line="380" w:lineRule="exact"/>
        <w:rPr>
          <w:i/>
          <w:sz w:val="22"/>
          <w:szCs w:val="22"/>
        </w:rPr>
      </w:pPr>
    </w:p>
    <w:p w14:paraId="0738B4AA" w14:textId="0BDEF077" w:rsidR="00DD33DA" w:rsidRPr="003930A6" w:rsidRDefault="005C6C5B" w:rsidP="007E3A91">
      <w:pPr>
        <w:spacing w:line="380" w:lineRule="exact"/>
        <w:rPr>
          <w:b/>
          <w:color w:val="262626" w:themeColor="text1" w:themeTint="D9"/>
          <w:sz w:val="40"/>
          <w:szCs w:val="40"/>
        </w:rPr>
      </w:pPr>
      <w:r>
        <w:rPr>
          <w:b/>
          <w:color w:val="262626" w:themeColor="text1" w:themeTint="D9"/>
          <w:sz w:val="40"/>
        </w:rPr>
        <w:t xml:space="preserve">Compatta, razionale, efficiente: la nuova </w:t>
      </w:r>
      <w:proofErr w:type="spellStart"/>
      <w:r>
        <w:rPr>
          <w:b/>
          <w:color w:val="262626" w:themeColor="text1" w:themeTint="D9"/>
          <w:sz w:val="40"/>
        </w:rPr>
        <w:t>CompAX</w:t>
      </w:r>
      <w:proofErr w:type="spellEnd"/>
      <w:r>
        <w:rPr>
          <w:b/>
          <w:color w:val="262626" w:themeColor="text1" w:themeTint="D9"/>
          <w:sz w:val="40"/>
        </w:rPr>
        <w:t xml:space="preserve"> Biral</w:t>
      </w:r>
    </w:p>
    <w:p w14:paraId="2A524267" w14:textId="77777777" w:rsidR="003930A6" w:rsidRDefault="003930A6" w:rsidP="00E102E1">
      <w:pPr>
        <w:spacing w:line="380" w:lineRule="exact"/>
        <w:ind w:right="-142"/>
        <w:rPr>
          <w:b/>
          <w:color w:val="262626" w:themeColor="text1" w:themeTint="D9"/>
        </w:rPr>
      </w:pPr>
    </w:p>
    <w:p w14:paraId="632B02BA" w14:textId="3758057E" w:rsidR="004F3826" w:rsidRDefault="00E1137F" w:rsidP="00E102E1">
      <w:pPr>
        <w:spacing w:line="380" w:lineRule="exact"/>
        <w:ind w:right="-142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 xml:space="preserve">Con la nuova </w:t>
      </w:r>
      <w:proofErr w:type="spellStart"/>
      <w:r>
        <w:rPr>
          <w:b/>
          <w:color w:val="262626" w:themeColor="text1" w:themeTint="D9"/>
        </w:rPr>
        <w:t>CompAX</w:t>
      </w:r>
      <w:proofErr w:type="spellEnd"/>
      <w:r>
        <w:rPr>
          <w:b/>
          <w:color w:val="262626" w:themeColor="text1" w:themeTint="D9"/>
        </w:rPr>
        <w:t>, Biral immette sul mercato una pompa di circolazione a rotore bagnato particolarmente compatta ed efficiente, sviluppata in proprio, dall'ingegneria fino al montaggio e al controllo qualità.</w:t>
      </w:r>
    </w:p>
    <w:p w14:paraId="5722B9D5" w14:textId="6A4006A7" w:rsidR="005C6C5B" w:rsidRDefault="005C6C5B" w:rsidP="00E102E1">
      <w:pPr>
        <w:spacing w:line="380" w:lineRule="exact"/>
        <w:ind w:right="-142"/>
        <w:rPr>
          <w:b/>
          <w:color w:val="262626" w:themeColor="text1" w:themeTint="D9"/>
        </w:rPr>
      </w:pPr>
    </w:p>
    <w:p w14:paraId="76390301" w14:textId="6BD729E5" w:rsidR="0045485F" w:rsidRDefault="005C6C5B" w:rsidP="00013D32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color w:val="262626" w:themeColor="text1" w:themeTint="D9"/>
        </w:rPr>
        <w:t xml:space="preserve">Compatta, razionale ed efficiente: ecco la nuova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Biral. La nuova pompa di circolazione a rotore bagnato è stata sviluppata in proprio dal produttore di pompe leader in Svizzera: creata da professionisti per professionisti. La nuova pompa si fa apprezzare dai tecnici installatori soprattutto per la struttura molto compatta. Con una profondità di montaggio di soli 103.3 mm la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è la più compatta che ci sia e si presta ad essere installata in condizioni di spazio estremamente ristretto. La nuova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conquista con la sua efficienza molto elevata. Raggiunge un indice IEE ≤ 0.18 e soddisfa quindi i requisiti di efficienza energetica vigenti a livello europeo. Come tutte le nuove pompe Biral, la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convince anche con la filosofia semplice e intuitiva comune a tutti i sistemi di comando Biral.</w:t>
      </w:r>
    </w:p>
    <w:p w14:paraId="6456E4AD" w14:textId="748FA194" w:rsidR="0045485F" w:rsidRDefault="0045485F" w:rsidP="0045485F">
      <w:pPr>
        <w:spacing w:line="380" w:lineRule="exact"/>
        <w:ind w:right="-142"/>
        <w:rPr>
          <w:bCs/>
          <w:color w:val="262626" w:themeColor="text1" w:themeTint="D9"/>
        </w:rPr>
      </w:pPr>
    </w:p>
    <w:p w14:paraId="01CBF882" w14:textId="3E97060E" w:rsidR="00D024A0" w:rsidRPr="00D024A0" w:rsidRDefault="00D024A0" w:rsidP="00E102E1">
      <w:pPr>
        <w:spacing w:line="380" w:lineRule="exact"/>
        <w:ind w:right="-142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CompAX</w:t>
      </w:r>
      <w:proofErr w:type="spellEnd"/>
      <w:r>
        <w:rPr>
          <w:b/>
          <w:color w:val="262626" w:themeColor="text1" w:themeTint="D9"/>
        </w:rPr>
        <w:t xml:space="preserve"> RED: la pompa di circolazione per riscaldamento</w:t>
      </w:r>
    </w:p>
    <w:p w14:paraId="42D01D68" w14:textId="0B2C8325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  <w:r>
        <w:rPr>
          <w:color w:val="262626" w:themeColor="text1" w:themeTint="D9"/>
        </w:rPr>
        <w:t xml:space="preserve">La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RED permette di impostare tre diversi livelli del numero di giri e anche di selezionare fra tre modalità di regolazione: riscaldamento a radiatori, riscaldamento a pavimento o regime costante.</w:t>
      </w:r>
    </w:p>
    <w:p w14:paraId="682ABB4E" w14:textId="27BFAEF7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</w:p>
    <w:p w14:paraId="7FA802A2" w14:textId="6B79F6F0" w:rsidR="00D13018" w:rsidRDefault="00D13018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</w:p>
    <w:p w14:paraId="41033938" w14:textId="77777777" w:rsidR="00D13018" w:rsidRDefault="00D13018" w:rsidP="00E102E1">
      <w:pPr>
        <w:spacing w:line="380" w:lineRule="exact"/>
        <w:ind w:right="-142"/>
        <w:rPr>
          <w:bCs/>
          <w:color w:val="262626" w:themeColor="text1" w:themeTint="D9"/>
          <w:u w:val="single"/>
        </w:rPr>
      </w:pPr>
    </w:p>
    <w:p w14:paraId="76B2EFDD" w14:textId="7F271A54" w:rsidR="00D024A0" w:rsidRPr="00D024A0" w:rsidRDefault="00D024A0" w:rsidP="00E102E1">
      <w:pPr>
        <w:spacing w:line="380" w:lineRule="exact"/>
        <w:ind w:right="-142"/>
        <w:rPr>
          <w:b/>
          <w:color w:val="262626" w:themeColor="text1" w:themeTint="D9"/>
        </w:rPr>
      </w:pPr>
      <w:proofErr w:type="spellStart"/>
      <w:r>
        <w:rPr>
          <w:b/>
          <w:color w:val="262626" w:themeColor="text1" w:themeTint="D9"/>
        </w:rPr>
        <w:t>CompAX</w:t>
      </w:r>
      <w:proofErr w:type="spellEnd"/>
      <w:r>
        <w:rPr>
          <w:b/>
          <w:color w:val="262626" w:themeColor="text1" w:themeTint="D9"/>
        </w:rPr>
        <w:t xml:space="preserve"> BLUE: la pompa di circolazione per acqua calda sanitaria</w:t>
      </w:r>
    </w:p>
    <w:p w14:paraId="415722EA" w14:textId="02BBAAB3" w:rsidR="00D024A0" w:rsidRDefault="00613864" w:rsidP="00D024A0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color w:val="262626" w:themeColor="text1" w:themeTint="D9"/>
        </w:rPr>
        <w:lastRenderedPageBreak/>
        <w:t xml:space="preserve">Con la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BLUE si possono impostare quattro curve caratteristiche standard. Il modello è disponibile anche con valvola di non ritorno integrata e rimane comunque molto compatto, con una lunghezza di montaggio di soli 175 mm. </w:t>
      </w:r>
    </w:p>
    <w:p w14:paraId="0507B18C" w14:textId="46E354E2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2722D56E" w14:textId="77777777" w:rsidR="00D024A0" w:rsidRDefault="00D024A0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1FC9F57D" w14:textId="5C01DA1B" w:rsidR="0045485F" w:rsidRDefault="00613864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color w:val="262626" w:themeColor="text1" w:themeTint="D9"/>
        </w:rPr>
        <w:t xml:space="preserve">Entrambi i modelli dispongono di un indicatore che visualizza la portata. Nella pratica quotidiana è molto utile anche il display integrato, che fornisce informazioni sulla potenza assorbita attuale in watt. </w:t>
      </w:r>
    </w:p>
    <w:p w14:paraId="61EC42EA" w14:textId="3FCFEFA3" w:rsidR="00013D32" w:rsidRDefault="00013D32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272917E2" w14:textId="6F2CDBB9" w:rsidR="00013D32" w:rsidRDefault="00013D32" w:rsidP="00E102E1">
      <w:pPr>
        <w:spacing w:line="380" w:lineRule="exact"/>
        <w:ind w:right="-142"/>
        <w:rPr>
          <w:bCs/>
          <w:color w:val="262626" w:themeColor="text1" w:themeTint="D9"/>
        </w:rPr>
      </w:pPr>
      <w:r>
        <w:rPr>
          <w:color w:val="262626" w:themeColor="text1" w:themeTint="D9"/>
        </w:rPr>
        <w:t xml:space="preserve">Con l'impiego di una pompa di circolazione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è possibile diminuire significativamente il consumo energetico e migliorare le capacità di regolazione dell'impianto, riducendo inoltre i rumori causati dal flusso nelle valvole termostatiche o in analoghi dispositivi di regolazione. Quando si installa una pompa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non è necessario prevedere alcun ulteriore isolamento termico, perché Biral fornisce di serie una calotta di isolamento termico.</w:t>
      </w:r>
    </w:p>
    <w:p w14:paraId="7CAA8EC0" w14:textId="77777777" w:rsidR="0045485F" w:rsidRDefault="0045485F" w:rsidP="00E102E1">
      <w:pPr>
        <w:spacing w:line="380" w:lineRule="exact"/>
        <w:ind w:right="-142"/>
        <w:rPr>
          <w:bCs/>
          <w:color w:val="262626" w:themeColor="text1" w:themeTint="D9"/>
        </w:rPr>
      </w:pPr>
    </w:p>
    <w:p w14:paraId="16341B82" w14:textId="3D114044" w:rsidR="00BC5CBC" w:rsidRDefault="00013D32" w:rsidP="00CF2A40">
      <w:pPr>
        <w:spacing w:line="380" w:lineRule="exact"/>
        <w:ind w:right="-142"/>
        <w:rPr>
          <w:color w:val="262626" w:themeColor="text1" w:themeTint="D9"/>
        </w:rPr>
      </w:pPr>
      <w:r>
        <w:rPr>
          <w:color w:val="262626" w:themeColor="text1" w:themeTint="D9"/>
        </w:rPr>
        <w:t xml:space="preserve">Le pompe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Biral sono adatte per impianti con portate sia costanti che variabili, quando si vuole impostare in modo ottimale il punto di esercizio. La </w:t>
      </w:r>
      <w:proofErr w:type="spellStart"/>
      <w:r>
        <w:rPr>
          <w:color w:val="262626" w:themeColor="text1" w:themeTint="D9"/>
        </w:rPr>
        <w:t>CompAX</w:t>
      </w:r>
      <w:proofErr w:type="spellEnd"/>
      <w:r>
        <w:rPr>
          <w:color w:val="262626" w:themeColor="text1" w:themeTint="D9"/>
        </w:rPr>
        <w:t xml:space="preserve"> può essere installata anche in impianti esistenti nei quali, in caso di fabbisogno di portata ridotto, la pressione differenziale della pompa è troppo elevata, o in impianti nuovi, la cui portata deve adeguarsi automaticamente al relativo fabbisogno, senza l'impiego di valvole di bilanciamento o di altri componenti costosi. </w:t>
      </w:r>
    </w:p>
    <w:p w14:paraId="59DB388F" w14:textId="4A15A735" w:rsidR="00CF2A40" w:rsidRDefault="00CF2A40" w:rsidP="00CF2A40">
      <w:pPr>
        <w:spacing w:line="380" w:lineRule="exact"/>
        <w:ind w:right="-142"/>
        <w:rPr>
          <w:color w:val="262626" w:themeColor="text1" w:themeTint="D9"/>
        </w:rPr>
      </w:pPr>
    </w:p>
    <w:p w14:paraId="3BBC6D41" w14:textId="3B689778" w:rsidR="00CF2A40" w:rsidRPr="00CF2A40" w:rsidRDefault="00CF2A40" w:rsidP="00CF2A40">
      <w:pPr>
        <w:spacing w:line="380" w:lineRule="exact"/>
        <w:ind w:right="-142"/>
        <w:rPr>
          <w:i/>
          <w:iCs/>
          <w:sz w:val="22"/>
          <w:szCs w:val="22"/>
        </w:rPr>
      </w:pPr>
      <w:r w:rsidRPr="00CF2A40">
        <w:rPr>
          <w:i/>
          <w:iCs/>
          <w:color w:val="262626" w:themeColor="text1" w:themeTint="D9"/>
        </w:rPr>
        <w:t>(2419 Zeichen)</w:t>
      </w:r>
    </w:p>
    <w:sectPr w:rsidR="00CF2A40" w:rsidRPr="00CF2A40" w:rsidSect="00DD33DA">
      <w:pgSz w:w="11900" w:h="16840"/>
      <w:pgMar w:top="1417" w:right="3395" w:bottom="1134" w:left="19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F2A"/>
    <w:multiLevelType w:val="hybridMultilevel"/>
    <w:tmpl w:val="9BC6A14A"/>
    <w:lvl w:ilvl="0" w:tplc="D40A04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932"/>
    <w:multiLevelType w:val="hybridMultilevel"/>
    <w:tmpl w:val="733E9C40"/>
    <w:lvl w:ilvl="0" w:tplc="737CC2D2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2477"/>
    <w:multiLevelType w:val="hybridMultilevel"/>
    <w:tmpl w:val="4D72924E"/>
    <w:lvl w:ilvl="0" w:tplc="0407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F6510AB"/>
    <w:multiLevelType w:val="hybridMultilevel"/>
    <w:tmpl w:val="5E78A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ABB"/>
    <w:multiLevelType w:val="hybridMultilevel"/>
    <w:tmpl w:val="F63C113E"/>
    <w:lvl w:ilvl="0" w:tplc="BD2832EE">
      <w:start w:val="1"/>
      <w:numFmt w:val="bullet"/>
      <w:pStyle w:val="pli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D7B4A"/>
    <w:multiLevelType w:val="hybridMultilevel"/>
    <w:tmpl w:val="48B46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F1A2F"/>
    <w:multiLevelType w:val="hybridMultilevel"/>
    <w:tmpl w:val="819A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13AE5"/>
    <w:multiLevelType w:val="multilevel"/>
    <w:tmpl w:val="095A36CA"/>
    <w:lvl w:ilvl="0">
      <w:start w:val="2"/>
      <w:numFmt w:val="decimal"/>
      <w:pStyle w:val="h1"/>
      <w:lvlText w:val="%1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h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E8C"/>
    <w:rsid w:val="00013D32"/>
    <w:rsid w:val="000348C2"/>
    <w:rsid w:val="0004273D"/>
    <w:rsid w:val="000630BA"/>
    <w:rsid w:val="00065D5E"/>
    <w:rsid w:val="0008517D"/>
    <w:rsid w:val="000871B7"/>
    <w:rsid w:val="000963A0"/>
    <w:rsid w:val="000D7052"/>
    <w:rsid w:val="000F5AE2"/>
    <w:rsid w:val="000F66F9"/>
    <w:rsid w:val="00113CF1"/>
    <w:rsid w:val="0011484E"/>
    <w:rsid w:val="00115D8D"/>
    <w:rsid w:val="00134939"/>
    <w:rsid w:val="001407B3"/>
    <w:rsid w:val="001A2E4A"/>
    <w:rsid w:val="001C6BE6"/>
    <w:rsid w:val="001E5564"/>
    <w:rsid w:val="002410E9"/>
    <w:rsid w:val="00245A99"/>
    <w:rsid w:val="00270DC7"/>
    <w:rsid w:val="00276EB8"/>
    <w:rsid w:val="00285883"/>
    <w:rsid w:val="00297892"/>
    <w:rsid w:val="00314BBB"/>
    <w:rsid w:val="003255B1"/>
    <w:rsid w:val="00334695"/>
    <w:rsid w:val="00360C47"/>
    <w:rsid w:val="003618D7"/>
    <w:rsid w:val="0038074F"/>
    <w:rsid w:val="003930A6"/>
    <w:rsid w:val="003B5D01"/>
    <w:rsid w:val="003B697A"/>
    <w:rsid w:val="003D253B"/>
    <w:rsid w:val="00403DBD"/>
    <w:rsid w:val="00412D1B"/>
    <w:rsid w:val="00422EB8"/>
    <w:rsid w:val="00430AEA"/>
    <w:rsid w:val="00433560"/>
    <w:rsid w:val="004338F6"/>
    <w:rsid w:val="0044511C"/>
    <w:rsid w:val="00447859"/>
    <w:rsid w:val="0045485F"/>
    <w:rsid w:val="004745B2"/>
    <w:rsid w:val="00482871"/>
    <w:rsid w:val="00485E8C"/>
    <w:rsid w:val="004C40D7"/>
    <w:rsid w:val="004C795D"/>
    <w:rsid w:val="004D3BBE"/>
    <w:rsid w:val="004D3FB9"/>
    <w:rsid w:val="004D3FBF"/>
    <w:rsid w:val="004F09BD"/>
    <w:rsid w:val="004F3826"/>
    <w:rsid w:val="004F58DC"/>
    <w:rsid w:val="005302C2"/>
    <w:rsid w:val="00542739"/>
    <w:rsid w:val="00553268"/>
    <w:rsid w:val="00566F8B"/>
    <w:rsid w:val="00571BC5"/>
    <w:rsid w:val="00575BA9"/>
    <w:rsid w:val="005A3655"/>
    <w:rsid w:val="005A4105"/>
    <w:rsid w:val="005C59EF"/>
    <w:rsid w:val="005C6C5B"/>
    <w:rsid w:val="005D2DB2"/>
    <w:rsid w:val="005D5FB7"/>
    <w:rsid w:val="005E52DE"/>
    <w:rsid w:val="005E5412"/>
    <w:rsid w:val="005F3559"/>
    <w:rsid w:val="00600AB2"/>
    <w:rsid w:val="006020DD"/>
    <w:rsid w:val="00613864"/>
    <w:rsid w:val="00654FDD"/>
    <w:rsid w:val="006773E4"/>
    <w:rsid w:val="006A7027"/>
    <w:rsid w:val="006B17B1"/>
    <w:rsid w:val="006E5807"/>
    <w:rsid w:val="006F3B48"/>
    <w:rsid w:val="00705289"/>
    <w:rsid w:val="00733F66"/>
    <w:rsid w:val="00761530"/>
    <w:rsid w:val="00762A5C"/>
    <w:rsid w:val="007E2021"/>
    <w:rsid w:val="007E3A91"/>
    <w:rsid w:val="00810E8E"/>
    <w:rsid w:val="008217E3"/>
    <w:rsid w:val="00831CCB"/>
    <w:rsid w:val="008440FD"/>
    <w:rsid w:val="008518BC"/>
    <w:rsid w:val="00864773"/>
    <w:rsid w:val="008739C5"/>
    <w:rsid w:val="00892117"/>
    <w:rsid w:val="00896BA1"/>
    <w:rsid w:val="008A3AC4"/>
    <w:rsid w:val="008A6AA8"/>
    <w:rsid w:val="008B05B9"/>
    <w:rsid w:val="008B3027"/>
    <w:rsid w:val="008E364A"/>
    <w:rsid w:val="008E3B08"/>
    <w:rsid w:val="008F0C28"/>
    <w:rsid w:val="00905A51"/>
    <w:rsid w:val="0090672E"/>
    <w:rsid w:val="00907028"/>
    <w:rsid w:val="0092100C"/>
    <w:rsid w:val="0095705E"/>
    <w:rsid w:val="00982B95"/>
    <w:rsid w:val="00987CC7"/>
    <w:rsid w:val="00994A41"/>
    <w:rsid w:val="009A3AC6"/>
    <w:rsid w:val="009D152D"/>
    <w:rsid w:val="00A01116"/>
    <w:rsid w:val="00A1404F"/>
    <w:rsid w:val="00A17EB1"/>
    <w:rsid w:val="00A36DA2"/>
    <w:rsid w:val="00A41AC0"/>
    <w:rsid w:val="00A563C0"/>
    <w:rsid w:val="00A6091E"/>
    <w:rsid w:val="00A86056"/>
    <w:rsid w:val="00A90E96"/>
    <w:rsid w:val="00AC74AF"/>
    <w:rsid w:val="00AF4B58"/>
    <w:rsid w:val="00B10317"/>
    <w:rsid w:val="00B13762"/>
    <w:rsid w:val="00B7099B"/>
    <w:rsid w:val="00B75BE7"/>
    <w:rsid w:val="00BA023F"/>
    <w:rsid w:val="00BA0C64"/>
    <w:rsid w:val="00BC3F94"/>
    <w:rsid w:val="00BC5CBC"/>
    <w:rsid w:val="00C270C5"/>
    <w:rsid w:val="00C427A0"/>
    <w:rsid w:val="00C42C0D"/>
    <w:rsid w:val="00C437D2"/>
    <w:rsid w:val="00C47FE8"/>
    <w:rsid w:val="00C62986"/>
    <w:rsid w:val="00CA1FEF"/>
    <w:rsid w:val="00CA35B2"/>
    <w:rsid w:val="00CB3CE3"/>
    <w:rsid w:val="00CB6EF0"/>
    <w:rsid w:val="00CC0F8B"/>
    <w:rsid w:val="00CD4617"/>
    <w:rsid w:val="00CD64A2"/>
    <w:rsid w:val="00CE2F6C"/>
    <w:rsid w:val="00CF2A40"/>
    <w:rsid w:val="00D024A0"/>
    <w:rsid w:val="00D13018"/>
    <w:rsid w:val="00D16502"/>
    <w:rsid w:val="00D179F6"/>
    <w:rsid w:val="00D35BEA"/>
    <w:rsid w:val="00D56665"/>
    <w:rsid w:val="00DD33DA"/>
    <w:rsid w:val="00DD3C15"/>
    <w:rsid w:val="00DF0CFB"/>
    <w:rsid w:val="00E102E1"/>
    <w:rsid w:val="00E1137F"/>
    <w:rsid w:val="00E20CD4"/>
    <w:rsid w:val="00E2484E"/>
    <w:rsid w:val="00E2739E"/>
    <w:rsid w:val="00E64CDD"/>
    <w:rsid w:val="00EA2B11"/>
    <w:rsid w:val="00EC1E8F"/>
    <w:rsid w:val="00F0207A"/>
    <w:rsid w:val="00F0479D"/>
    <w:rsid w:val="00F057D7"/>
    <w:rsid w:val="00F07203"/>
    <w:rsid w:val="00F40F53"/>
    <w:rsid w:val="00F42E00"/>
    <w:rsid w:val="00F71F7C"/>
    <w:rsid w:val="00F82536"/>
    <w:rsid w:val="00FB0570"/>
    <w:rsid w:val="00FE6F08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7983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">
    <w:name w:val="__p"/>
    <w:autoRedefine/>
    <w:uiPriority w:val="99"/>
    <w:qFormat/>
    <w:rsid w:val="00A6091E"/>
    <w:pPr>
      <w:tabs>
        <w:tab w:val="left" w:pos="1134"/>
      </w:tabs>
      <w:autoSpaceDE w:val="0"/>
      <w:autoSpaceDN w:val="0"/>
      <w:adjustRightInd w:val="0"/>
      <w:spacing w:after="260" w:line="260" w:lineRule="atLeast"/>
      <w:jc w:val="both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h1">
    <w:name w:val="_h1"/>
    <w:next w:val="Standard"/>
    <w:autoRedefine/>
    <w:uiPriority w:val="99"/>
    <w:qFormat/>
    <w:rsid w:val="00A6091E"/>
    <w:pPr>
      <w:pageBreakBefore/>
      <w:widowControl w:val="0"/>
      <w:numPr>
        <w:numId w:val="3"/>
      </w:numPr>
      <w:autoSpaceDE w:val="0"/>
      <w:autoSpaceDN w:val="0"/>
      <w:adjustRightInd w:val="0"/>
      <w:spacing w:after="780" w:line="520" w:lineRule="atLeast"/>
      <w:textAlignment w:val="center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1ohne">
    <w:name w:val="_h1_ohne"/>
    <w:autoRedefine/>
    <w:qFormat/>
    <w:rsid w:val="00A6091E"/>
    <w:pPr>
      <w:spacing w:after="780"/>
    </w:pPr>
    <w:rPr>
      <w:rFonts w:ascii="Arial" w:eastAsia="Calibri" w:hAnsi="Arial" w:cs="FrutigerLTStd-Bold"/>
      <w:b/>
      <w:bCs/>
      <w:color w:val="000000"/>
      <w:sz w:val="52"/>
      <w:szCs w:val="52"/>
      <w:lang w:eastAsia="de-CH"/>
    </w:rPr>
  </w:style>
  <w:style w:type="paragraph" w:customStyle="1" w:styleId="h2">
    <w:name w:val="_h2"/>
    <w:next w:val="Standard"/>
    <w:autoRedefine/>
    <w:uiPriority w:val="99"/>
    <w:qFormat/>
    <w:rsid w:val="00A6091E"/>
    <w:pPr>
      <w:numPr>
        <w:ilvl w:val="1"/>
        <w:numId w:val="3"/>
      </w:numPr>
      <w:spacing w:after="260" w:line="260" w:lineRule="atLeast"/>
    </w:pPr>
    <w:rPr>
      <w:rFonts w:ascii="Arial" w:eastAsia="Calibri" w:hAnsi="Arial" w:cs="FrutigerLTStd-Light"/>
      <w:b/>
      <w:bCs/>
      <w:color w:val="000000"/>
      <w:sz w:val="32"/>
      <w:szCs w:val="30"/>
      <w:lang w:eastAsia="de-CH"/>
    </w:rPr>
  </w:style>
  <w:style w:type="paragraph" w:customStyle="1" w:styleId="h3">
    <w:name w:val="_h3"/>
    <w:next w:val="p"/>
    <w:autoRedefine/>
    <w:uiPriority w:val="99"/>
    <w:qFormat/>
    <w:rsid w:val="00A6091E"/>
    <w:pPr>
      <w:keepNext/>
      <w:numPr>
        <w:ilvl w:val="2"/>
        <w:numId w:val="3"/>
      </w:numPr>
      <w:tabs>
        <w:tab w:val="left" w:pos="709"/>
      </w:tabs>
      <w:spacing w:after="260" w:line="260" w:lineRule="atLeast"/>
    </w:pPr>
    <w:rPr>
      <w:rFonts w:ascii="Arial" w:eastAsia="Calibri" w:hAnsi="Arial" w:cs="FrutigerLTStd-Light"/>
      <w:b/>
      <w:bCs/>
      <w:color w:val="000000"/>
      <w:sz w:val="26"/>
      <w:szCs w:val="26"/>
      <w:lang w:eastAsia="de-CH"/>
    </w:rPr>
  </w:style>
  <w:style w:type="paragraph" w:customStyle="1" w:styleId="h4">
    <w:name w:val="_h4"/>
    <w:next w:val="p"/>
    <w:autoRedefine/>
    <w:uiPriority w:val="99"/>
    <w:qFormat/>
    <w:rsid w:val="00A6091E"/>
    <w:pPr>
      <w:keepNext/>
      <w:widowControl w:val="0"/>
      <w:spacing w:line="260" w:lineRule="atLeast"/>
    </w:pPr>
    <w:rPr>
      <w:rFonts w:ascii="Arial" w:eastAsia="Calibri" w:hAnsi="Arial" w:cs="FrutigerLTStd-Light"/>
      <w:b/>
      <w:bCs/>
      <w:color w:val="007FB2"/>
      <w:sz w:val="20"/>
      <w:szCs w:val="20"/>
      <w:lang w:eastAsia="de-CH"/>
    </w:rPr>
  </w:style>
  <w:style w:type="paragraph" w:customStyle="1" w:styleId="h5">
    <w:name w:val="_h5"/>
    <w:basedOn w:val="p"/>
    <w:next w:val="p"/>
    <w:qFormat/>
    <w:rsid w:val="00A6091E"/>
    <w:pPr>
      <w:spacing w:after="0"/>
    </w:pPr>
    <w:rPr>
      <w:b/>
    </w:rPr>
  </w:style>
  <w:style w:type="paragraph" w:customStyle="1" w:styleId="pli">
    <w:name w:val="_p_li"/>
    <w:basedOn w:val="p"/>
    <w:autoRedefine/>
    <w:qFormat/>
    <w:rsid w:val="00A6091E"/>
    <w:pPr>
      <w:numPr>
        <w:numId w:val="4"/>
      </w:numPr>
    </w:pPr>
  </w:style>
  <w:style w:type="paragraph" w:customStyle="1" w:styleId="plinks">
    <w:name w:val="_p.links"/>
    <w:autoRedefine/>
    <w:uiPriority w:val="99"/>
    <w:qFormat/>
    <w:rsid w:val="00A6091E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" w:eastAsia="Calibri" w:hAnsi="Arial" w:cs="FrutigerLTStd-Light"/>
      <w:color w:val="000000"/>
      <w:sz w:val="18"/>
      <w:szCs w:val="18"/>
      <w:lang w:eastAsia="de-CH"/>
    </w:rPr>
  </w:style>
  <w:style w:type="paragraph" w:customStyle="1" w:styleId="ptab">
    <w:name w:val="_p.tab"/>
    <w:basedOn w:val="p"/>
    <w:autoRedefine/>
    <w:qFormat/>
    <w:rsid w:val="00A6091E"/>
    <w:pPr>
      <w:tabs>
        <w:tab w:val="left" w:pos="709"/>
      </w:tabs>
      <w:ind w:left="113"/>
    </w:pPr>
    <w:rPr>
      <w:bCs/>
    </w:rPr>
  </w:style>
  <w:style w:type="paragraph" w:customStyle="1" w:styleId="ptabtitel">
    <w:name w:val="_p.tab_titel"/>
    <w:basedOn w:val="Standard"/>
    <w:autoRedefine/>
    <w:qFormat/>
    <w:rsid w:val="00A6091E"/>
    <w:pPr>
      <w:tabs>
        <w:tab w:val="left" w:pos="709"/>
      </w:tabs>
      <w:spacing w:before="120" w:line="269" w:lineRule="auto"/>
      <w:ind w:left="142" w:hanging="29"/>
    </w:pPr>
    <w:rPr>
      <w:rFonts w:ascii="Arial" w:eastAsia="Calibri" w:hAnsi="Arial" w:cs="Times New Roman"/>
      <w:bCs/>
      <w:color w:val="000000" w:themeColor="text1"/>
      <w:sz w:val="22"/>
      <w:szCs w:val="22"/>
      <w:lang w:eastAsia="en-US"/>
    </w:rPr>
  </w:style>
  <w:style w:type="paragraph" w:customStyle="1" w:styleId="titelseitehaupttitel">
    <w:name w:val="_titelseite haupttitel"/>
    <w:basedOn w:val="Standard"/>
    <w:autoRedefine/>
    <w:qFormat/>
    <w:rsid w:val="00A6091E"/>
    <w:pPr>
      <w:spacing w:before="120"/>
    </w:pPr>
    <w:rPr>
      <w:rFonts w:ascii="Arial" w:eastAsia="Calibri" w:hAnsi="Arial" w:cs="Arial"/>
      <w:b/>
      <w:sz w:val="80"/>
      <w:szCs w:val="80"/>
      <w:lang w:eastAsia="en-US"/>
    </w:rPr>
  </w:style>
  <w:style w:type="paragraph" w:customStyle="1" w:styleId="titelseitehaupttitelklein">
    <w:name w:val="_titelseite haupttitel klein"/>
    <w:basedOn w:val="titelseitehaupttitel"/>
    <w:next w:val="p"/>
    <w:autoRedefine/>
    <w:qFormat/>
    <w:rsid w:val="00A6091E"/>
    <w:rPr>
      <w:sz w:val="30"/>
    </w:rPr>
  </w:style>
  <w:style w:type="paragraph" w:styleId="Listenabsatz">
    <w:name w:val="List Paragraph"/>
    <w:basedOn w:val="Standard"/>
    <w:uiPriority w:val="34"/>
    <w:qFormat/>
    <w:rsid w:val="00AC74AF"/>
    <w:pPr>
      <w:ind w:left="720"/>
      <w:contextualSpacing/>
    </w:pPr>
  </w:style>
  <w:style w:type="paragraph" w:styleId="berarbeitung">
    <w:name w:val="Revision"/>
    <w:hidden/>
    <w:uiPriority w:val="99"/>
    <w:semiHidden/>
    <w:rsid w:val="004335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56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56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E5807"/>
    <w:rPr>
      <w:rFonts w:eastAsiaTheme="minorHAns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5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5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5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5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5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raschle &amp; kranz | Atelier für Kommunikation GmbH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raschle</dc:creator>
  <cp:keywords/>
  <dc:description/>
  <cp:lastModifiedBy>Danz Rosmarie</cp:lastModifiedBy>
  <cp:revision>2</cp:revision>
  <cp:lastPrinted>2016-02-28T16:47:00Z</cp:lastPrinted>
  <dcterms:created xsi:type="dcterms:W3CDTF">2022-01-13T10:15:00Z</dcterms:created>
  <dcterms:modified xsi:type="dcterms:W3CDTF">2022-01-13T10:15:00Z</dcterms:modified>
</cp:coreProperties>
</file>